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B7" w:rsidRPr="004042B7" w:rsidRDefault="004042B7" w:rsidP="004042B7">
      <w:pPr>
        <w:widowControl/>
        <w:pBdr>
          <w:bottom w:val="single" w:sz="6" w:space="8" w:color="DDDDDD"/>
        </w:pBdr>
        <w:spacing w:after="300" w:line="480" w:lineRule="atLeast"/>
        <w:jc w:val="center"/>
        <w:outlineLvl w:val="2"/>
        <w:rPr>
          <w:rFonts w:ascii="microsoft yahei" w:eastAsia="宋体" w:hAnsi="microsoft yahei" w:cs="宋体"/>
          <w:color w:val="567A83"/>
          <w:kern w:val="0"/>
          <w:sz w:val="36"/>
          <w:szCs w:val="36"/>
        </w:rPr>
      </w:pPr>
      <w:r w:rsidRPr="004042B7">
        <w:rPr>
          <w:rFonts w:ascii="microsoft yahei" w:eastAsia="宋体" w:hAnsi="microsoft yahei" w:cs="宋体"/>
          <w:color w:val="567A83"/>
          <w:kern w:val="0"/>
          <w:sz w:val="36"/>
          <w:szCs w:val="36"/>
        </w:rPr>
        <w:t>2014</w:t>
      </w:r>
      <w:r w:rsidRPr="004042B7">
        <w:rPr>
          <w:rFonts w:ascii="microsoft yahei" w:eastAsia="宋体" w:hAnsi="microsoft yahei" w:cs="宋体"/>
          <w:color w:val="567A83"/>
          <w:kern w:val="0"/>
          <w:sz w:val="36"/>
          <w:szCs w:val="36"/>
        </w:rPr>
        <w:t>年国际会计职业动态（</w:t>
      </w:r>
      <w:r w:rsidRPr="004042B7">
        <w:rPr>
          <w:rFonts w:ascii="microsoft yahei" w:eastAsia="宋体" w:hAnsi="microsoft yahei" w:cs="宋体"/>
          <w:color w:val="567A83"/>
          <w:kern w:val="0"/>
          <w:sz w:val="36"/>
          <w:szCs w:val="36"/>
        </w:rPr>
        <w:t>8</w:t>
      </w:r>
      <w:r w:rsidRPr="004042B7">
        <w:rPr>
          <w:rFonts w:ascii="microsoft yahei" w:eastAsia="宋体" w:hAnsi="microsoft yahei" w:cs="宋体"/>
          <w:color w:val="567A83"/>
          <w:kern w:val="0"/>
          <w:sz w:val="36"/>
          <w:szCs w:val="36"/>
        </w:rPr>
        <w:t>月）</w:t>
      </w:r>
    </w:p>
    <w:p w:rsidR="004042B7" w:rsidRPr="004042B7" w:rsidRDefault="004042B7" w:rsidP="004042B7">
      <w:pPr>
        <w:widowControl/>
        <w:jc w:val="center"/>
        <w:rPr>
          <w:rFonts w:ascii="microsoft yahei" w:eastAsia="宋体" w:hAnsi="microsoft yahei" w:cs="宋体"/>
          <w:color w:val="999999"/>
          <w:kern w:val="0"/>
          <w:sz w:val="20"/>
          <w:szCs w:val="20"/>
        </w:rPr>
      </w:pPr>
      <w:r w:rsidRPr="004042B7">
        <w:rPr>
          <w:rFonts w:ascii="microsoft yahei" w:eastAsia="宋体" w:hAnsi="microsoft yahei" w:cs="宋体"/>
          <w:color w:val="999999"/>
          <w:kern w:val="0"/>
          <w:sz w:val="20"/>
          <w:szCs w:val="20"/>
        </w:rPr>
        <w:t>添加日期：</w:t>
      </w:r>
      <w:r w:rsidRPr="004042B7">
        <w:rPr>
          <w:rFonts w:ascii="microsoft yahei" w:eastAsia="宋体" w:hAnsi="microsoft yahei" w:cs="宋体"/>
          <w:color w:val="999999"/>
          <w:kern w:val="0"/>
          <w:sz w:val="20"/>
          <w:szCs w:val="20"/>
        </w:rPr>
        <w:t>2014</w:t>
      </w:r>
      <w:r w:rsidRPr="004042B7">
        <w:rPr>
          <w:rFonts w:ascii="microsoft yahei" w:eastAsia="宋体" w:hAnsi="microsoft yahei" w:cs="宋体"/>
          <w:color w:val="999999"/>
          <w:kern w:val="0"/>
          <w:sz w:val="20"/>
          <w:szCs w:val="20"/>
        </w:rPr>
        <w:t>年</w:t>
      </w:r>
      <w:r w:rsidRPr="004042B7">
        <w:rPr>
          <w:rFonts w:ascii="microsoft yahei" w:eastAsia="宋体" w:hAnsi="microsoft yahei" w:cs="宋体"/>
          <w:color w:val="999999"/>
          <w:kern w:val="0"/>
          <w:sz w:val="20"/>
          <w:szCs w:val="20"/>
        </w:rPr>
        <w:t>08</w:t>
      </w:r>
      <w:r w:rsidRPr="004042B7">
        <w:rPr>
          <w:rFonts w:ascii="microsoft yahei" w:eastAsia="宋体" w:hAnsi="microsoft yahei" w:cs="宋体"/>
          <w:color w:val="999999"/>
          <w:kern w:val="0"/>
          <w:sz w:val="20"/>
          <w:szCs w:val="20"/>
        </w:rPr>
        <w:t>月</w:t>
      </w:r>
      <w:r w:rsidRPr="004042B7">
        <w:rPr>
          <w:rFonts w:ascii="microsoft yahei" w:eastAsia="宋体" w:hAnsi="microsoft yahei" w:cs="宋体"/>
          <w:color w:val="999999"/>
          <w:kern w:val="0"/>
          <w:sz w:val="20"/>
          <w:szCs w:val="20"/>
        </w:rPr>
        <w:t>29</w:t>
      </w:r>
      <w:r w:rsidRPr="004042B7">
        <w:rPr>
          <w:rFonts w:ascii="microsoft yahei" w:eastAsia="宋体" w:hAnsi="microsoft yahei" w:cs="宋体"/>
          <w:color w:val="999999"/>
          <w:kern w:val="0"/>
          <w:sz w:val="20"/>
          <w:szCs w:val="20"/>
        </w:rPr>
        <w:t>日</w:t>
      </w:r>
    </w:p>
    <w:p w:rsidR="004042B7" w:rsidRPr="004042B7" w:rsidRDefault="004042B7" w:rsidP="004042B7">
      <w:pPr>
        <w:widowControl/>
        <w:spacing w:line="360" w:lineRule="atLeast"/>
        <w:ind w:firstLine="480"/>
        <w:jc w:val="left"/>
        <w:rPr>
          <w:rFonts w:ascii="microsoft yahei" w:eastAsia="宋体" w:hAnsi="microsoft yahei" w:cs="宋体"/>
          <w:color w:val="666666"/>
          <w:kern w:val="0"/>
          <w:sz w:val="18"/>
          <w:szCs w:val="18"/>
        </w:rPr>
      </w:pPr>
      <w:r w:rsidRPr="004042B7">
        <w:rPr>
          <w:rFonts w:ascii="微软雅黑" w:eastAsia="微软雅黑" w:hAnsi="微软雅黑" w:cs="宋体" w:hint="eastAsia"/>
          <w:b/>
          <w:bCs/>
          <w:color w:val="666666"/>
          <w:kern w:val="0"/>
          <w:szCs w:val="21"/>
        </w:rPr>
        <w:t>IFAC简报</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1.</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美国注册会计师协会（AICPA）近日为非注册会计师盖瑞·斯柯普斯先生（Mr. Gary M. Scopes）颁发荣誉勋章，以表彰其为会计行业做出的突出贡献。斯柯普斯是AICPA的第一位专职总监，主管国际关系。在他的努力下，AICPA建立了全球会计联盟，对外关系实现重大飞跃。斯柯普斯曾担任IFAC的技术顾问和财务会计准则咨询委员会（FASAC）委员。</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2.</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斯里兰卡特许会计师协会（ICASL）会长阿朱那·赫瑞斯先生（Mr. Arjuna Herath）近日宣布，ICASL的会计和审计准则已与国际财务报告准则（IFRS）和国际审计准则（ISA）实现全面趋同，意味着斯里兰卡的会计框架和体系已达到世界一流水平，这也将提高ICASL在IFAC、CAPA等国际及区域性会计职业组织中的影响力。</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3.</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近日，特许公认会计师公会（ACCA）与哥伦比亚全国公共会计师协会（INCP）、哥伦比亚国家会计团体签订了一份谅解备忘录，进一步促进哥伦比亚会计行业的成长与发展。该谅解备忘录将通过国际财务报告准则（IFRS）在哥伦比亚的实施、在ACCA在线证书和考试平台上接受培训和资格认证等方式帮助更多哥伦比亚人进入会计行业。</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4. IFAC呼吁20国集团（G20）将加强公共部门的财务管理作为今后工作的重中之重。IFAC执行总裁法耶尔·乔杜里先生（Mr. Fayezul Choudhury）表示，G20应鼓励各国政府采用国际公共部门会计准则（IPSASs）等全球公认的准则，编制权责发生制为基础的财务报告，以改善财务管理。</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b/>
          <w:bCs/>
          <w:color w:val="666666"/>
          <w:kern w:val="0"/>
          <w:szCs w:val="21"/>
        </w:rPr>
        <w:t>独立准则制定理事会简报</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lastRenderedPageBreak/>
        <w:t>1.</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近日，国际公共部门会计准则理事会（IPSASB）针对国际公共部门会计准则（IPSASs）的修订发布征求意见稿，以期与国际会计准则（IAS）相关条文的修订保持一致。该征求意见稿主要包括澄清比较资料要求（IPSAS1）、改进可接受的资产贬值方法（IPSAS17）、修改分配对权益工具持有人所得税的影响（IPSAS28）以及澄清可接受的资产摊销方法（IPSAS31）。</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2.</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国际会计教育准则理事会（IAESB）发布了《2014-2016年战略和工作计划》，支持已修订的国际教育标准（IESs）的实施。IAESB将为IFAC成员组织、监管机构、雇主、学者和学生提供协助，改善全球会计专业教育的质量，以及增强职业会计师的能力和判断力。</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3.</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为解决信息披露量不断增长导致信息披露过剩的问题，国际会计准则理事会（IASB）于近日启动了一项“主动披露”计划。在IASB权威指南尚未正式出台之前，去年3月发布的题为《信息披露计划——国际会计准则（IAS）第1条的修订建议》的征求意见稿将继续作为短期措施，应对目前遇到的问题。“主动披露”计划将总结相关准则的修订意见，讨论企业如何应对信息披露过剩问题。</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b/>
          <w:bCs/>
          <w:color w:val="666666"/>
          <w:kern w:val="0"/>
          <w:szCs w:val="21"/>
        </w:rPr>
        <w:t>全球会计行业简报</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1.</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特许公认会计师公会（ACCA）和美国管理会计师协会（IMA）近期的一项调查显示，尽管第二季度北美的商业信心有明显回升，但在英国、爱尔兰等经济复苏迹象较为明显的国家却持续下降，这说明金融界人士认为目前全球经济长期稳定发展仍面临威胁和挑战。</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2.</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会计技术员协会（AAT）的一项最近研究发现，英国为青少年提供的职业咨询并不能满足他们的需求，甚至会做出误导性的职业建议。在接受调查的14-19岁青少年中，有43%的受访者表示他们没有受到正规职业咨询给出的建议的影响，或者没有接受过任何就业指导。这其中24%的受访者只能听从父母的安排，另有15%的受访者表示他们倾向于从事好友选择的职业，而不考虑该职业是否适合自己。</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lastRenderedPageBreak/>
        <w:t>3.</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证券委员会国际组织（IOSCO）近日发布了《IOSCO基准利率原则在伦敦银行同业拆借利率、欧元银行同业拆借利率和东京银行同业拆借利率中的实施报告》。报告认为，已完成和正在进行的改革有助于改善这三家管理者和各自基准在监督、治理、透明度和问责制等方面的水平，这无疑将提高三个基准的质量和诚信度。</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4.</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国际内部审计师协会（IIA）近期就其《国际内部审计实务框架（IPPF）》提出了改进意见，涉及IIA发布过的所有权威准则和指南。改进意见主要包括引进使命陈述和核心原则、针对新出现问题的实务指南等。改进意见并不触及IPPF的关键要素，如内部审计的定义、道德准则和实务准则。</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5.</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金融稳定委员会（FSB）与证券委员会国际组织（IOSCO）将进行今年第二次磋商，讨论将基金产品和活动的风险评估纳入基金管理风险防范体系，而不仅仅考量基金管理人的规模。今年4月双方第一次磋商后，包括贝莱德债券基金管理公司和太平洋投资管理公司在内的行业巨头纷纷表示，反对将基金管理人的规模作为衡量系统性风险的主要标准。</w:t>
      </w:r>
    </w:p>
    <w:p w:rsidR="004042B7" w:rsidRPr="004042B7" w:rsidRDefault="004042B7" w:rsidP="004042B7">
      <w:pPr>
        <w:widowControl/>
        <w:spacing w:line="360" w:lineRule="atLeast"/>
        <w:ind w:firstLine="480"/>
        <w:jc w:val="left"/>
        <w:rPr>
          <w:rFonts w:ascii="宋体" w:eastAsia="宋体" w:hAnsi="宋体" w:cs="宋体"/>
          <w:color w:val="666666"/>
          <w:kern w:val="0"/>
          <w:sz w:val="24"/>
          <w:szCs w:val="24"/>
        </w:rPr>
      </w:pPr>
      <w:r w:rsidRPr="004042B7">
        <w:rPr>
          <w:rFonts w:ascii="微软雅黑" w:eastAsia="微软雅黑" w:hAnsi="微软雅黑" w:cs="宋体" w:hint="eastAsia"/>
          <w:color w:val="666666"/>
          <w:kern w:val="0"/>
          <w:szCs w:val="21"/>
        </w:rPr>
        <w:t>6.</w:t>
      </w:r>
      <w:r w:rsidRPr="004042B7">
        <w:rPr>
          <w:rFonts w:ascii="微软雅黑" w:eastAsia="微软雅黑" w:hAnsi="微软雅黑" w:cs="宋体" w:hint="eastAsia"/>
          <w:color w:val="666666"/>
          <w:kern w:val="0"/>
        </w:rPr>
        <w:t> </w:t>
      </w:r>
      <w:r w:rsidRPr="004042B7">
        <w:rPr>
          <w:rFonts w:ascii="微软雅黑" w:eastAsia="微软雅黑" w:hAnsi="微软雅黑" w:cs="宋体" w:hint="eastAsia"/>
          <w:color w:val="666666"/>
          <w:kern w:val="0"/>
          <w:szCs w:val="21"/>
        </w:rPr>
        <w:t>美国财务会计准则理事会（FASB）正在努力简化部分会计领域，降低财务报表的复杂程度，从而节约公司、投资者和会计师的成本。FASB主席瑞思·戈尔登先生（Mr. Russ Golden）表示，FASB将会把精力放在鉴别能够快速有效解决的问题上，而不影响提供给投资者的信息的质量。</w:t>
      </w:r>
    </w:p>
    <w:p w:rsidR="00E23D76" w:rsidRPr="004042B7" w:rsidRDefault="00E23D76"/>
    <w:sectPr w:rsidR="00E23D76" w:rsidRPr="004042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D76" w:rsidRDefault="00E23D76" w:rsidP="004042B7">
      <w:r>
        <w:separator/>
      </w:r>
    </w:p>
  </w:endnote>
  <w:endnote w:type="continuationSeparator" w:id="1">
    <w:p w:rsidR="00E23D76" w:rsidRDefault="00E23D76" w:rsidP="004042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D76" w:rsidRDefault="00E23D76" w:rsidP="004042B7">
      <w:r>
        <w:separator/>
      </w:r>
    </w:p>
  </w:footnote>
  <w:footnote w:type="continuationSeparator" w:id="1">
    <w:p w:rsidR="00E23D76" w:rsidRDefault="00E23D76" w:rsidP="004042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42B7"/>
    <w:rsid w:val="004042B7"/>
    <w:rsid w:val="00E23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042B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2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2B7"/>
    <w:rPr>
      <w:sz w:val="18"/>
      <w:szCs w:val="18"/>
    </w:rPr>
  </w:style>
  <w:style w:type="paragraph" w:styleId="a4">
    <w:name w:val="footer"/>
    <w:basedOn w:val="a"/>
    <w:link w:val="Char0"/>
    <w:uiPriority w:val="99"/>
    <w:semiHidden/>
    <w:unhideWhenUsed/>
    <w:rsid w:val="004042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42B7"/>
    <w:rPr>
      <w:sz w:val="18"/>
      <w:szCs w:val="18"/>
    </w:rPr>
  </w:style>
  <w:style w:type="character" w:customStyle="1" w:styleId="3Char">
    <w:name w:val="标题 3 Char"/>
    <w:basedOn w:val="a0"/>
    <w:link w:val="3"/>
    <w:uiPriority w:val="9"/>
    <w:rsid w:val="004042B7"/>
    <w:rPr>
      <w:rFonts w:ascii="宋体" w:eastAsia="宋体" w:hAnsi="宋体" w:cs="宋体"/>
      <w:b/>
      <w:bCs/>
      <w:kern w:val="0"/>
      <w:sz w:val="27"/>
      <w:szCs w:val="27"/>
    </w:rPr>
  </w:style>
  <w:style w:type="paragraph" w:customStyle="1" w:styleId="f999">
    <w:name w:val="f999"/>
    <w:basedOn w:val="a"/>
    <w:rsid w:val="004042B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042B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042B7"/>
  </w:style>
</w:styles>
</file>

<file path=word/webSettings.xml><?xml version="1.0" encoding="utf-8"?>
<w:webSettings xmlns:r="http://schemas.openxmlformats.org/officeDocument/2006/relationships" xmlns:w="http://schemas.openxmlformats.org/wordprocessingml/2006/main">
  <w:divs>
    <w:div w:id="204828669">
      <w:bodyDiv w:val="1"/>
      <w:marLeft w:val="0"/>
      <w:marRight w:val="0"/>
      <w:marTop w:val="0"/>
      <w:marBottom w:val="0"/>
      <w:divBdr>
        <w:top w:val="none" w:sz="0" w:space="0" w:color="auto"/>
        <w:left w:val="none" w:sz="0" w:space="0" w:color="auto"/>
        <w:bottom w:val="none" w:sz="0" w:space="0" w:color="auto"/>
        <w:right w:val="none" w:sz="0" w:space="0" w:color="auto"/>
      </w:divBdr>
      <w:divsChild>
        <w:div w:id="670528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2014-11-11T02:47:00Z</dcterms:created>
  <dcterms:modified xsi:type="dcterms:W3CDTF">2014-11-11T02:47:00Z</dcterms:modified>
</cp:coreProperties>
</file>