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B5" w:rsidRDefault="008318B5" w:rsidP="008318B5">
      <w:pPr>
        <w:pStyle w:val="3"/>
        <w:pBdr>
          <w:bottom w:val="single" w:sz="6" w:space="8" w:color="DDDDDD"/>
        </w:pBdr>
        <w:spacing w:before="0" w:after="300" w:line="480" w:lineRule="atLeast"/>
        <w:jc w:val="center"/>
        <w:rPr>
          <w:rFonts w:ascii="microsoft yahei" w:hAnsi="microsoft yahei"/>
          <w:b w:val="0"/>
          <w:bCs w:val="0"/>
          <w:color w:val="567A83"/>
          <w:sz w:val="36"/>
          <w:szCs w:val="36"/>
        </w:rPr>
      </w:pPr>
      <w:r>
        <w:rPr>
          <w:rFonts w:ascii="microsoft yahei" w:hAnsi="microsoft yahei"/>
          <w:b w:val="0"/>
          <w:bCs w:val="0"/>
          <w:color w:val="567A83"/>
          <w:sz w:val="36"/>
          <w:szCs w:val="36"/>
        </w:rPr>
        <w:t>2014</w:t>
      </w:r>
      <w:r>
        <w:rPr>
          <w:rFonts w:ascii="microsoft yahei" w:hAnsi="microsoft yahei"/>
          <w:b w:val="0"/>
          <w:bCs w:val="0"/>
          <w:color w:val="567A83"/>
          <w:sz w:val="36"/>
          <w:szCs w:val="36"/>
        </w:rPr>
        <w:t>年国际会计职业动态（</w:t>
      </w:r>
      <w:r>
        <w:rPr>
          <w:rFonts w:ascii="microsoft yahei" w:hAnsi="microsoft yahei"/>
          <w:b w:val="0"/>
          <w:bCs w:val="0"/>
          <w:color w:val="567A83"/>
          <w:sz w:val="36"/>
          <w:szCs w:val="36"/>
        </w:rPr>
        <w:t>9</w:t>
      </w:r>
      <w:r>
        <w:rPr>
          <w:rFonts w:ascii="microsoft yahei" w:hAnsi="microsoft yahei"/>
          <w:b w:val="0"/>
          <w:bCs w:val="0"/>
          <w:color w:val="567A83"/>
          <w:sz w:val="36"/>
          <w:szCs w:val="36"/>
        </w:rPr>
        <w:t>月）</w:t>
      </w:r>
    </w:p>
    <w:p w:rsidR="008318B5" w:rsidRDefault="008318B5" w:rsidP="008318B5">
      <w:pPr>
        <w:pStyle w:val="f999"/>
        <w:spacing w:before="0" w:beforeAutospacing="0" w:after="0" w:afterAutospacing="0"/>
        <w:jc w:val="center"/>
        <w:rPr>
          <w:rFonts w:ascii="microsoft yahei" w:hAnsi="microsoft yahei"/>
          <w:color w:val="999999"/>
          <w:sz w:val="20"/>
          <w:szCs w:val="20"/>
        </w:rPr>
      </w:pPr>
      <w:r>
        <w:rPr>
          <w:rFonts w:ascii="microsoft yahei" w:hAnsi="microsoft yahei"/>
          <w:color w:val="999999"/>
          <w:sz w:val="20"/>
          <w:szCs w:val="20"/>
        </w:rPr>
        <w:t>添加日期：</w:t>
      </w:r>
      <w:r>
        <w:rPr>
          <w:rFonts w:ascii="microsoft yahei" w:hAnsi="microsoft yahei"/>
          <w:color w:val="999999"/>
          <w:sz w:val="20"/>
          <w:szCs w:val="20"/>
        </w:rPr>
        <w:t>2014</w:t>
      </w:r>
      <w:r>
        <w:rPr>
          <w:rFonts w:ascii="microsoft yahei" w:hAnsi="microsoft yahei"/>
          <w:color w:val="999999"/>
          <w:sz w:val="20"/>
          <w:szCs w:val="20"/>
        </w:rPr>
        <w:t>年</w:t>
      </w:r>
      <w:r>
        <w:rPr>
          <w:rFonts w:ascii="microsoft yahei" w:hAnsi="microsoft yahei"/>
          <w:color w:val="999999"/>
          <w:sz w:val="20"/>
          <w:szCs w:val="20"/>
        </w:rPr>
        <w:t>09</w:t>
      </w:r>
      <w:r>
        <w:rPr>
          <w:rFonts w:ascii="microsoft yahei" w:hAnsi="microsoft yahei"/>
          <w:color w:val="999999"/>
          <w:sz w:val="20"/>
          <w:szCs w:val="20"/>
        </w:rPr>
        <w:t>月</w:t>
      </w:r>
      <w:r>
        <w:rPr>
          <w:rFonts w:ascii="microsoft yahei" w:hAnsi="microsoft yahei"/>
          <w:color w:val="999999"/>
          <w:sz w:val="20"/>
          <w:szCs w:val="20"/>
        </w:rPr>
        <w:t>30</w:t>
      </w:r>
      <w:r>
        <w:rPr>
          <w:rFonts w:ascii="microsoft yahei" w:hAnsi="microsoft yahei"/>
          <w:color w:val="999999"/>
          <w:sz w:val="20"/>
          <w:szCs w:val="20"/>
        </w:rPr>
        <w:t>日</w:t>
      </w:r>
    </w:p>
    <w:p w:rsidR="008318B5" w:rsidRDefault="008318B5" w:rsidP="008318B5">
      <w:pPr>
        <w:pStyle w:val="a5"/>
        <w:spacing w:before="0" w:beforeAutospacing="0" w:after="0" w:afterAutospacing="0" w:line="360" w:lineRule="atLeast"/>
        <w:ind w:firstLine="480"/>
        <w:rPr>
          <w:rFonts w:ascii="microsoft yahei" w:hAnsi="microsoft yahei"/>
          <w:color w:val="666666"/>
          <w:sz w:val="18"/>
          <w:szCs w:val="18"/>
        </w:rPr>
      </w:pPr>
      <w:r>
        <w:rPr>
          <w:rFonts w:ascii="微软雅黑" w:eastAsia="微软雅黑" w:hAnsi="微软雅黑" w:hint="eastAsia"/>
          <w:b/>
          <w:bCs/>
          <w:color w:val="666666"/>
          <w:sz w:val="21"/>
          <w:szCs w:val="21"/>
        </w:rPr>
        <w:t>IFAC简报</w:t>
      </w:r>
    </w:p>
    <w:p w:rsidR="008318B5" w:rsidRDefault="008318B5" w:rsidP="008318B5">
      <w:pPr>
        <w:spacing w:line="360" w:lineRule="atLeast"/>
        <w:ind w:firstLine="480"/>
        <w:rPr>
          <w:rFonts w:ascii="宋体" w:hAnsi="宋体"/>
          <w:color w:val="666666"/>
          <w:sz w:val="24"/>
          <w:szCs w:val="24"/>
        </w:rPr>
      </w:pPr>
      <w:r>
        <w:rPr>
          <w:rFonts w:ascii="微软雅黑" w:eastAsia="微软雅黑" w:hAnsi="微软雅黑" w:hint="eastAsia"/>
          <w:color w:val="666666"/>
          <w:szCs w:val="21"/>
        </w:rPr>
        <w:t>1.</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国际会计师联合会（IFAC）主席艾伦﹒沃伦先生于9月出席尼日利亚第44届会计师年会并以“特许会计师与社会：服务公众利益的现实”为题致辞。</w:t>
      </w:r>
    </w:p>
    <w:p w:rsidR="008318B5" w:rsidRDefault="008318B5" w:rsidP="008318B5">
      <w:pPr>
        <w:spacing w:line="360" w:lineRule="atLeast"/>
        <w:ind w:firstLine="480"/>
        <w:rPr>
          <w:color w:val="666666"/>
        </w:rPr>
      </w:pPr>
      <w:r>
        <w:rPr>
          <w:rFonts w:ascii="微软雅黑" w:eastAsia="微软雅黑" w:hAnsi="微软雅黑" w:hint="eastAsia"/>
          <w:b/>
          <w:bCs/>
          <w:color w:val="666666"/>
          <w:szCs w:val="21"/>
        </w:rPr>
        <w:t>独立准则制定理事会简报</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1.</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美国财务会计准则理事会（FASB）发布了一项新的会计准则更新，为披露企业持续经营项目的不确定性提供指南，美国审计质量中心（CAQ）对此给予高度评价。该更新进一步加剧了美国公认会计原则与国际财务报告准则的分歧。</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2.</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鉴于欧盟已于2014年5月正式发布了年度合并账目法定审计法令和公共利益实体法定审计监管条例，欧洲会计师联合会（FEE）编发了《审计行业公众监督：强化诚信和支持合作》、《向公共利益实体法定审计客户提供非审计业务规定：明晰化和一致性需求》，以及《任命审计师和业务持续期：为欧洲地区可行的单一市场而努力》等文件。</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3.</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特许公认会计师公会（ACCA）尼日利亚负责人在2014年ACCA学生研讨会上就会计师对企业生存和发展的重要作用发表演讲。</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4.</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马来西亚会计师协会（MIA）表示高技能行业人力资源短缺将影响马来西亚的竞争优势，特别是该国在未来10年内对会计师的需求将增加一倍，达到6万。为此，MIA希望与大专院校合作，以确保会计专业毕业生从事会计行业。马来西亚强化会计行业委员会也在制定相关战略，以满足该国未来对会计师的需求。</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5.</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国际综合报告理事会（IIRC）在南非约翰内斯堡举办了综合报告鉴证论坛，就鉴证在强化国际综合报告理事会综合报告框架信誉方面是否合适且可行进行探讨。IIRC也将在澳大利亚、比利时、巴西、日本、马来西亚、新加坡和美国等国家举办论坛与相关方讨论该</w:t>
      </w:r>
      <w:r>
        <w:rPr>
          <w:rFonts w:ascii="微软雅黑" w:eastAsia="微软雅黑" w:hAnsi="微软雅黑" w:hint="eastAsia"/>
          <w:color w:val="666666"/>
          <w:szCs w:val="21"/>
        </w:rPr>
        <w:lastRenderedPageBreak/>
        <w:t>议题。</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6.</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美国注册会计师协会（AICPA）个人理财部门宣布了其2015年高级个人理财大会的主题演讲人。本年度演讲主题将涵盖从税务和经济观察到Gen-Savvy咨询战略等议题。</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7.</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斯里兰卡特许管理会计师协会（CMA-Sri Lanka）与斯里兰卡NDB集团签署了认证实习培训协议，为其学生提供管理会计和金融领域的实习培训机会，以帮助他们奠定良好的职业基础并获取会员资格。该协会在加拿大特许管理会计师协会、美国管理会计师协会和国际会计师联合会的帮助下于2000年成立，现有18000名学生和2200名会员。</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8.</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信用联盟美国联合会法律副总顾问表示，对美国财务会计准则理事会（FASB）坏账损失准则可能引发额外报告要求感到忧虑。FASB在如何处理坏账损失方面与国际会计准则理事会（IASB）存在分歧，后者刚于上月发布了金融工具准则，而预期FASB将于今年年底发布美国金融工具准则。</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9.</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英国企业、创新与技能部（BIS）及英国财务报告理事会（FRC）联合就实施欧盟新会计法令开展咨询。英国将于2015年中期把该法令内容并入公司法中。英格兰及威尔士特许会计师协会（ICAEW）财务报告组表示，这为小型企业带来新的会计要求，对很多英国企业，特别是小型企业来说过于激进。</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10.</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国际公共部门会计准则理事会（IPSASB）通过了公共部门实体通用财务报告概念框架，将于2014年10月发布。预期该框架将为未来的准则制定工作提供坚实的基础。IPSASB表示将继续服务公众利益，解决全球政府和其他公共部门实体的财务报告需求。</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11.</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国际会计准则理事会（IASB）已成立一个国际财务报告准则第9号实施工作组，支持相关方采纳该准则，向实施国际财务报告准则第9号（新财务工具准则）过渡。该工作组旨在为相关方提供一个论坛，讨论实施新损失要求过程中出现的问题，并提交供IASB解决上述问题的信息。该工作组成员包括来自“四大”、巴克莱银行、中国银行和德意志银</w:t>
      </w:r>
      <w:r>
        <w:rPr>
          <w:rFonts w:ascii="微软雅黑" w:eastAsia="微软雅黑" w:hAnsi="微软雅黑" w:hint="eastAsia"/>
          <w:color w:val="666666"/>
          <w:szCs w:val="21"/>
        </w:rPr>
        <w:lastRenderedPageBreak/>
        <w:t>行的代表。</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IASB于2014年8月采用前瞻性损失模式。在新模式中，银行和金融机构为坏账准备备付金的时间大大提前，被迫更准确地报告财务健康状况。</w:t>
      </w:r>
    </w:p>
    <w:p w:rsidR="008318B5" w:rsidRDefault="008318B5" w:rsidP="008318B5">
      <w:pPr>
        <w:spacing w:line="360" w:lineRule="atLeast"/>
        <w:ind w:firstLine="480"/>
        <w:rPr>
          <w:color w:val="666666"/>
        </w:rPr>
      </w:pPr>
      <w:r>
        <w:rPr>
          <w:rFonts w:ascii="微软雅黑" w:eastAsia="微软雅黑" w:hAnsi="微软雅黑" w:hint="eastAsia"/>
          <w:b/>
          <w:bCs/>
          <w:color w:val="666666"/>
          <w:szCs w:val="21"/>
        </w:rPr>
        <w:t>全球会计行业简报</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1.</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美国注册会计师协会（AICPA）领衔反对美国议会强制要求年收入超过1000万美元的公司实施权责发生制会计的努力，并与各州协会和会计师事务所合作争取议员的支持。随后，美国众议院两党多数议员签署联名信，认为实施权责发生制会计将严重伤害美国企业，敦促众议院领袖保留税务现金会计，并对参议院关于改革联邦税法导致公司改变会计方法的担忧表示赞成。</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2.</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孟加拉国专家在世行研讨会上证实，该国公司和公共实体财务报告审计存有漏洞，敦促更新该国特许会计师职业道德准则，定稿财务报告法案，以预防欺诈。</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3. 20国集团就巴塞尔III协议规定、影子银行和处理“太大而不能倒闭”银行等议题已接近于达成协议。届时，预计“太大而不能倒闭”银行可使用股权和新混合借贷，以满足在面临破产时必须有能力动用额外资本的要求。关于巴塞尔III协议规定中最主要的问题，杠杆率和净稳定融资比率，全球对总资产的构成仍存在激烈争议。而全球监管机构正努力出台治理影子银行的规定，阻止非银行类机构从事银行业务。</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4.</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孟加拉国商务部长在南亚会计师联合会（SAFA）国际大会上呼吁职业会计师发挥自己的重要作用，确保良好公司治理、推动企业和经济增长及提升企业信心。该会议以“会计师推动增长：透视南亚”为主题，由孟加拉特许会计师协会（ICAB）主办，大约500名会计专业人士参加了会议。</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5.</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美国公众公司会计监督委员会（PCAOB）发布了《审计实务提示第12号：财务报告审计中关于收入审计存在的问题》，针对其历次检查中发现的重大收入审计缺陷，讨论了</w:t>
      </w:r>
      <w:r>
        <w:rPr>
          <w:rFonts w:ascii="微软雅黑" w:eastAsia="微软雅黑" w:hAnsi="微软雅黑" w:hint="eastAsia"/>
          <w:color w:val="666666"/>
          <w:szCs w:val="21"/>
        </w:rPr>
        <w:lastRenderedPageBreak/>
        <w:t>合约协议收入确认、评估收入报告、总收入及净收入、检查收入是否属于正确时间段、评估财务报告是否包含收入披露要求等问题，强调了PCAOB关于收入审计准则的要求。</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6.</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美国公众公司会计监督委员会（PCAOB）将批准一项期待已久的规定，强制要求会计师事务所披露每个上市公司审计团队主管合伙人的名字，以便强化审计师问责制度并向投资者提供更多信息。</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7.</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斯里兰卡特许会计师协会（CA Sri Lanka）将于2015年启用新的教学大纲，以改革其职业会计教育。新课程着眼于2020年特许会计师财务领导力需求，关注培养特许会计师的胜任能力，力图培养一批高技能和胜任的特许会计师并推动其创造、保持和报告价值。</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8.</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英国BDO会计公司根据国际鉴证业务准则（ISAE 3000）对英国比特币、黄金和英镑交易所Netagio的比特币储存环境进行了比特币行业的首次独立审核。该准则由国际审计与鉴证准则理事会（IAASB）制定，旨在强化鉴证工作质量。审核结果表明，该交易所实施了足够的控制措施，达到了相关控制目标，且遵守了欧盟支付服务法令。</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9.</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瑞士与世界银行签署协议，向多边捐助基金（MDTF）提供319万美元。该基金由世行管理，由欧盟、英国国际发展部、澳大利亚外交和外贸部及挪威和丹麦于2010年共同出资成立，旨在强化尼泊尔公共财务管理的绩效、透明度和问责度。</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10.</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香港财务汇报局（FRC）表示赞成政府征求意见稿中扩大其权力的建议。根据该建议，财务汇报局直接负责检查、调查和处罚当地审计师，最高罚款额可高于1000万港币或数倍于业务收费。财务汇报局还针对会计行业人士的反对意见表示，该局大部分成员为非执业者或由政府任命，独立运营，设有两级上诉机制并由申诉专员公署和廉政公署监管，可保证公正执法。</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11.</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印度会计准则与国际财务报告准则趋同后，将于2015年4月起自愿实施并从2015-2017财年起强制实施。但企业是否必须采纳该准则一并编制公司账目和集团合并账</w:t>
      </w:r>
      <w:r>
        <w:rPr>
          <w:rFonts w:ascii="微软雅黑" w:eastAsia="微软雅黑" w:hAnsi="微软雅黑" w:hint="eastAsia"/>
          <w:color w:val="666666"/>
          <w:szCs w:val="21"/>
        </w:rPr>
        <w:lastRenderedPageBreak/>
        <w:t>目或仅编制集团合并账目，目前仍不明朗。印度公司事务部和特许会计师协会正在讨论。</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12.</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国际会计准则理事会（IASB）发布了《报告费率监管的财务影响》讨论文件，面向全球征求意见。该文件以某种包含成本补偿和激励措施的费率监管为例，询问是否IASB确认的良好费率监管的特性真正体现了该类费率监管。但该文件不包含任何会计建议，而是探讨哪些关于费率监管的信息对财务报告使用者最有益处，并列明可供IASB决定如何更好地报告费率监管财务影响的方法。</w:t>
      </w:r>
    </w:p>
    <w:p w:rsidR="008318B5" w:rsidRDefault="008318B5" w:rsidP="008318B5">
      <w:pPr>
        <w:spacing w:line="360" w:lineRule="atLeast"/>
        <w:ind w:firstLine="480"/>
        <w:rPr>
          <w:color w:val="666666"/>
        </w:rPr>
      </w:pPr>
      <w:r>
        <w:rPr>
          <w:rFonts w:ascii="微软雅黑" w:eastAsia="微软雅黑" w:hAnsi="微软雅黑" w:hint="eastAsia"/>
          <w:color w:val="666666"/>
          <w:szCs w:val="21"/>
        </w:rPr>
        <w:t>13.</w:t>
      </w:r>
      <w:r>
        <w:rPr>
          <w:rStyle w:val="apple-converted-space"/>
          <w:rFonts w:ascii="微软雅黑" w:eastAsia="微软雅黑" w:hAnsi="微软雅黑" w:hint="eastAsia"/>
          <w:color w:val="666666"/>
          <w:szCs w:val="21"/>
        </w:rPr>
        <w:t> </w:t>
      </w:r>
      <w:r>
        <w:rPr>
          <w:rFonts w:ascii="微软雅黑" w:eastAsia="微软雅黑" w:hAnsi="微软雅黑" w:hint="eastAsia"/>
          <w:color w:val="666666"/>
          <w:szCs w:val="21"/>
        </w:rPr>
        <w:t>财务会计基金会（FAF）和美国财务会计准则理事会（FASB）框架下的私人企业委员会（PCC）最终同意豁免私营公司确认和计量在公司合并时无法出售或租赁的竞争限制协议和顾客类相关无形资产的要求。但因不具有制定准则的权力，该委员会将意见提交FASB讨论决定。该委员会之前已提交多项豁免建议，均得到FASB批准并广泛应用于上市公司，作为简化会计准则的部分措施。</w:t>
      </w:r>
    </w:p>
    <w:p w:rsidR="00C5350D" w:rsidRPr="008318B5" w:rsidRDefault="00C5350D"/>
    <w:sectPr w:rsidR="00C5350D" w:rsidRPr="008318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50D" w:rsidRDefault="00C5350D" w:rsidP="008318B5">
      <w:r>
        <w:separator/>
      </w:r>
    </w:p>
  </w:endnote>
  <w:endnote w:type="continuationSeparator" w:id="1">
    <w:p w:rsidR="00C5350D" w:rsidRDefault="00C5350D" w:rsidP="008318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50D" w:rsidRDefault="00C5350D" w:rsidP="008318B5">
      <w:r>
        <w:separator/>
      </w:r>
    </w:p>
  </w:footnote>
  <w:footnote w:type="continuationSeparator" w:id="1">
    <w:p w:rsidR="00C5350D" w:rsidRDefault="00C5350D" w:rsidP="008318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8B5"/>
    <w:rsid w:val="008318B5"/>
    <w:rsid w:val="00C53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18B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8318B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8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8B5"/>
    <w:rPr>
      <w:sz w:val="18"/>
      <w:szCs w:val="18"/>
    </w:rPr>
  </w:style>
  <w:style w:type="paragraph" w:styleId="a4">
    <w:name w:val="footer"/>
    <w:basedOn w:val="a"/>
    <w:link w:val="Char0"/>
    <w:uiPriority w:val="99"/>
    <w:semiHidden/>
    <w:unhideWhenUsed/>
    <w:rsid w:val="008318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8B5"/>
    <w:rPr>
      <w:sz w:val="18"/>
      <w:szCs w:val="18"/>
    </w:rPr>
  </w:style>
  <w:style w:type="character" w:customStyle="1" w:styleId="1Char">
    <w:name w:val="标题 1 Char"/>
    <w:basedOn w:val="a0"/>
    <w:link w:val="1"/>
    <w:uiPriority w:val="9"/>
    <w:rsid w:val="008318B5"/>
    <w:rPr>
      <w:rFonts w:ascii="宋体" w:eastAsia="宋体" w:hAnsi="宋体" w:cs="宋体"/>
      <w:b/>
      <w:bCs/>
      <w:kern w:val="36"/>
      <w:sz w:val="48"/>
      <w:szCs w:val="48"/>
    </w:rPr>
  </w:style>
  <w:style w:type="character" w:customStyle="1" w:styleId="3Char">
    <w:name w:val="标题 3 Char"/>
    <w:basedOn w:val="a0"/>
    <w:link w:val="3"/>
    <w:uiPriority w:val="9"/>
    <w:semiHidden/>
    <w:rsid w:val="008318B5"/>
    <w:rPr>
      <w:b/>
      <w:bCs/>
      <w:sz w:val="32"/>
      <w:szCs w:val="32"/>
    </w:rPr>
  </w:style>
  <w:style w:type="paragraph" w:customStyle="1" w:styleId="f999">
    <w:name w:val="f999"/>
    <w:basedOn w:val="a"/>
    <w:rsid w:val="008318B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8318B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318B5"/>
  </w:style>
</w:styles>
</file>

<file path=word/webSettings.xml><?xml version="1.0" encoding="utf-8"?>
<w:webSettings xmlns:r="http://schemas.openxmlformats.org/officeDocument/2006/relationships" xmlns:w="http://schemas.openxmlformats.org/wordprocessingml/2006/main">
  <w:divs>
    <w:div w:id="372966944">
      <w:bodyDiv w:val="1"/>
      <w:marLeft w:val="0"/>
      <w:marRight w:val="0"/>
      <w:marTop w:val="0"/>
      <w:marBottom w:val="0"/>
      <w:divBdr>
        <w:top w:val="none" w:sz="0" w:space="0" w:color="auto"/>
        <w:left w:val="none" w:sz="0" w:space="0" w:color="auto"/>
        <w:bottom w:val="none" w:sz="0" w:space="0" w:color="auto"/>
        <w:right w:val="none" w:sz="0" w:space="0" w:color="auto"/>
      </w:divBdr>
    </w:div>
    <w:div w:id="1391731696">
      <w:bodyDiv w:val="1"/>
      <w:marLeft w:val="0"/>
      <w:marRight w:val="0"/>
      <w:marTop w:val="0"/>
      <w:marBottom w:val="0"/>
      <w:divBdr>
        <w:top w:val="none" w:sz="0" w:space="0" w:color="auto"/>
        <w:left w:val="none" w:sz="0" w:space="0" w:color="auto"/>
        <w:bottom w:val="none" w:sz="0" w:space="0" w:color="auto"/>
        <w:right w:val="none" w:sz="0" w:space="0" w:color="auto"/>
      </w:divBdr>
      <w:divsChild>
        <w:div w:id="1389035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2014-11-11T02:45:00Z</dcterms:created>
  <dcterms:modified xsi:type="dcterms:W3CDTF">2014-11-11T02:45:00Z</dcterms:modified>
</cp:coreProperties>
</file>